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35FA" w:rsidRPr="00B435FA" w:rsidRDefault="00B435FA" w:rsidP="00B435FA">
      <w:pPr>
        <w:spacing w:before="100" w:beforeAutospacing="1" w:after="100" w:afterAutospacing="1" w:line="240" w:lineRule="auto"/>
        <w:rPr>
          <w:rFonts w:ascii="Arial" w:eastAsia="Times New Roman" w:hAnsi="Arial" w:cs="Arial"/>
          <w:sz w:val="15"/>
        </w:rPr>
      </w:pPr>
      <w:r w:rsidRPr="00B435FA">
        <w:rPr>
          <w:rFonts w:ascii="Arial" w:eastAsia="Times New Roman" w:hAnsi="Arial" w:cs="Arial"/>
          <w:b/>
          <w:bCs/>
          <w:sz w:val="20"/>
        </w:rPr>
        <w:t>Title 40: Protection of Environment</w:t>
      </w:r>
      <w:r w:rsidRPr="00B435FA">
        <w:rPr>
          <w:rFonts w:ascii="Arial" w:eastAsia="Times New Roman" w:hAnsi="Arial" w:cs="Arial"/>
          <w:sz w:val="15"/>
          <w:szCs w:val="15"/>
        </w:rPr>
        <w:br/>
      </w:r>
      <w:bookmarkStart w:id="0" w:name="40:10.0.1.1.1"/>
      <w:r w:rsidRPr="00B435FA">
        <w:rPr>
          <w:rFonts w:ascii="Arial" w:eastAsia="Times New Roman" w:hAnsi="Arial" w:cs="Arial"/>
          <w:sz w:val="15"/>
        </w:rPr>
        <w:fldChar w:fldCharType="begin"/>
      </w:r>
      <w:r w:rsidRPr="00B435FA">
        <w:rPr>
          <w:rFonts w:ascii="Arial" w:eastAsia="Times New Roman" w:hAnsi="Arial" w:cs="Arial"/>
          <w:sz w:val="15"/>
        </w:rPr>
        <w:instrText xml:space="preserve"> HYPERLINK "http://ecfr.gpoaccess.gov/cgi/t/text/text-idx?c=ecfr;sid=46aa3b106840624b370d500d84f1c856;rgn=div5;view=text;node=40%3A10.0.1.1.1;idno=40;cc=ecfr" </w:instrText>
      </w:r>
      <w:r w:rsidRPr="00B435FA">
        <w:rPr>
          <w:rFonts w:ascii="Arial" w:eastAsia="Times New Roman" w:hAnsi="Arial" w:cs="Arial"/>
          <w:sz w:val="15"/>
        </w:rPr>
        <w:fldChar w:fldCharType="separate"/>
      </w:r>
      <w:r w:rsidRPr="00B435FA">
        <w:rPr>
          <w:rFonts w:ascii="Arial" w:eastAsia="Times New Roman" w:hAnsi="Arial" w:cs="Arial"/>
          <w:color w:val="0000FF"/>
          <w:sz w:val="15"/>
          <w:u w:val="single"/>
        </w:rPr>
        <w:t>PART 63—NATIONAL EMISSION STANDARDS FOR HAZARDOUS AIR POLLUTANTS FOR SOURCE CATEGORIES (CONTINUED)</w:t>
      </w:r>
      <w:r w:rsidRPr="00B435FA">
        <w:rPr>
          <w:rFonts w:ascii="Arial" w:eastAsia="Times New Roman" w:hAnsi="Arial" w:cs="Arial"/>
          <w:sz w:val="15"/>
        </w:rPr>
        <w:fldChar w:fldCharType="end"/>
      </w:r>
      <w:bookmarkEnd w:id="0"/>
      <w:r w:rsidRPr="00B435FA">
        <w:rPr>
          <w:rFonts w:ascii="Arial" w:eastAsia="Times New Roman" w:hAnsi="Arial" w:cs="Arial"/>
          <w:sz w:val="15"/>
        </w:rPr>
        <w:t xml:space="preserve"> </w:t>
      </w:r>
    </w:p>
    <w:p w:rsidR="00B435FA" w:rsidRPr="00B435FA" w:rsidRDefault="00B435FA" w:rsidP="00B435FA">
      <w:pPr>
        <w:spacing w:before="100" w:beforeAutospacing="1" w:after="100" w:afterAutospacing="1" w:line="240" w:lineRule="auto"/>
        <w:rPr>
          <w:rFonts w:ascii="Times New Roman" w:eastAsia="Times New Roman" w:hAnsi="Times New Roman" w:cs="Times New Roman"/>
          <w:sz w:val="24"/>
          <w:szCs w:val="24"/>
        </w:rPr>
      </w:pPr>
      <w:hyperlink r:id="rId6" w:history="1">
        <w:r w:rsidRPr="00B435FA">
          <w:rPr>
            <w:rFonts w:ascii="Arial" w:eastAsia="Times New Roman" w:hAnsi="Arial" w:cs="Arial"/>
            <w:color w:val="0000FF"/>
            <w:sz w:val="15"/>
            <w:u w:val="single"/>
          </w:rPr>
          <w:t>Browse Previous</w:t>
        </w:r>
      </w:hyperlink>
      <w:r w:rsidRPr="00B435FA">
        <w:rPr>
          <w:rFonts w:ascii="Arial" w:eastAsia="Times New Roman" w:hAnsi="Arial" w:cs="Arial"/>
          <w:sz w:val="15"/>
          <w:szCs w:val="15"/>
        </w:rPr>
        <w:t> | </w:t>
      </w:r>
      <w:hyperlink r:id="rId7" w:history="1">
        <w:r w:rsidRPr="00B435FA">
          <w:rPr>
            <w:rFonts w:ascii="Arial" w:eastAsia="Times New Roman" w:hAnsi="Arial" w:cs="Arial"/>
            <w:color w:val="0000FF"/>
            <w:sz w:val="15"/>
            <w:u w:val="single"/>
          </w:rPr>
          <w:t>Browse Next</w:t>
        </w:r>
      </w:hyperlink>
    </w:p>
    <w:p w:rsidR="00B435FA" w:rsidRPr="00B435FA" w:rsidRDefault="00B435FA" w:rsidP="00B435FA">
      <w:pPr>
        <w:spacing w:before="100" w:beforeAutospacing="1" w:after="100" w:afterAutospacing="1" w:line="240" w:lineRule="auto"/>
        <w:outlineLvl w:val="4"/>
        <w:rPr>
          <w:rFonts w:ascii="Book Antiqua" w:eastAsia="Times New Roman" w:hAnsi="Book Antiqua" w:cs="Arial"/>
          <w:b/>
          <w:bCs/>
          <w:sz w:val="20"/>
          <w:szCs w:val="20"/>
        </w:rPr>
      </w:pPr>
      <w:r w:rsidRPr="00B435FA">
        <w:rPr>
          <w:rFonts w:ascii="Book Antiqua" w:eastAsia="Times New Roman" w:hAnsi="Book Antiqua" w:cs="Arial"/>
          <w:b/>
          <w:bCs/>
          <w:sz w:val="20"/>
          <w:szCs w:val="20"/>
        </w:rPr>
        <w:t>Subpart RR—National Emission Standards for Individual Drain Systems</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b/>
          <w:bCs/>
          <w:sz w:val="20"/>
          <w:szCs w:val="20"/>
        </w:rPr>
        <w:t>Source:</w:t>
      </w:r>
      <w:r w:rsidRPr="00B435FA">
        <w:rPr>
          <w:rFonts w:ascii="Book Antiqua" w:eastAsia="Times New Roman" w:hAnsi="Book Antiqua" w:cs="Arial"/>
          <w:sz w:val="20"/>
          <w:szCs w:val="20"/>
        </w:rPr>
        <w:t xml:space="preserve">   61 FR 34193, July 1, 1996, unless otherwise noted. </w:t>
      </w:r>
    </w:p>
    <w:p w:rsidR="00B435FA" w:rsidRPr="00B435FA" w:rsidRDefault="00B435FA" w:rsidP="00B435FA">
      <w:pPr>
        <w:spacing w:before="100" w:beforeAutospacing="1" w:after="100" w:afterAutospacing="1" w:line="240" w:lineRule="auto"/>
        <w:outlineLvl w:val="4"/>
        <w:rPr>
          <w:rFonts w:ascii="Book Antiqua" w:eastAsia="Times New Roman" w:hAnsi="Book Antiqua" w:cs="Arial"/>
          <w:b/>
          <w:bCs/>
          <w:sz w:val="20"/>
          <w:szCs w:val="20"/>
        </w:rPr>
      </w:pPr>
      <w:proofErr w:type="gramStart"/>
      <w:r w:rsidRPr="00B435FA">
        <w:rPr>
          <w:rFonts w:ascii="Book Antiqua" w:eastAsia="Times New Roman" w:hAnsi="Book Antiqua" w:cs="Arial"/>
          <w:b/>
          <w:bCs/>
          <w:sz w:val="20"/>
          <w:szCs w:val="20"/>
        </w:rPr>
        <w:t>§ 63.960   Applicability.</w:t>
      </w:r>
      <w:proofErr w:type="gramEnd"/>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sz w:val="20"/>
          <w:szCs w:val="20"/>
        </w:rPr>
        <w:t xml:space="preserve">(a) The provisions of this subpart apply to the control of air emissions from individual drain systems for which another subpart of 40 CFR parts 60, 61, or 63 references the use of this subpart for such air emission control. These air emission standards for individual drain systems are placed here for administrative convenience and only apply to those owners and operators of facilities subject to the other subparts that reference this subpart. The provisions of 40 CFR </w:t>
      </w:r>
      <w:proofErr w:type="gramStart"/>
      <w:r w:rsidRPr="00B435FA">
        <w:rPr>
          <w:rFonts w:ascii="Book Antiqua" w:eastAsia="Times New Roman" w:hAnsi="Book Antiqua" w:cs="Arial"/>
          <w:sz w:val="20"/>
          <w:szCs w:val="20"/>
        </w:rPr>
        <w:t>part</w:t>
      </w:r>
      <w:proofErr w:type="gramEnd"/>
      <w:r w:rsidRPr="00B435FA">
        <w:rPr>
          <w:rFonts w:ascii="Book Antiqua" w:eastAsia="Times New Roman" w:hAnsi="Book Antiqua" w:cs="Arial"/>
          <w:sz w:val="20"/>
          <w:szCs w:val="20"/>
        </w:rPr>
        <w:t xml:space="preserve"> 63, subpart A—General Provisions do not apply to this subpart except as noted in the subpart that references this subpart.</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sz w:val="20"/>
          <w:szCs w:val="20"/>
        </w:rPr>
        <w:t>(b) [Reserved]</w:t>
      </w:r>
    </w:p>
    <w:p w:rsidR="00B435FA" w:rsidRPr="00B435FA" w:rsidRDefault="00B435FA" w:rsidP="00B435FA">
      <w:pPr>
        <w:spacing w:before="100" w:beforeAutospacing="1" w:after="100" w:afterAutospacing="1" w:line="240" w:lineRule="auto"/>
        <w:outlineLvl w:val="4"/>
        <w:rPr>
          <w:rFonts w:ascii="Book Antiqua" w:eastAsia="Times New Roman" w:hAnsi="Book Antiqua" w:cs="Arial"/>
          <w:b/>
          <w:bCs/>
          <w:sz w:val="20"/>
          <w:szCs w:val="20"/>
        </w:rPr>
      </w:pPr>
      <w:r w:rsidRPr="00B435FA">
        <w:rPr>
          <w:rFonts w:ascii="Book Antiqua" w:eastAsia="Times New Roman" w:hAnsi="Book Antiqua" w:cs="Arial"/>
          <w:b/>
          <w:bCs/>
          <w:sz w:val="20"/>
          <w:szCs w:val="20"/>
        </w:rPr>
        <w:t>§ 63.961   Definitions.</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sz w:val="20"/>
          <w:szCs w:val="20"/>
        </w:rPr>
        <w:t>All terms used in this subpart shall have the meaning given to them in the Act and in this section. If a term is defined in both this section and in another subpart that references the use of this subpart, then the definition in this subpart shall take precedence when implementing this subpart.</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i/>
          <w:iCs/>
          <w:sz w:val="20"/>
          <w:szCs w:val="20"/>
        </w:rPr>
        <w:t xml:space="preserve">Closure device </w:t>
      </w:r>
      <w:r w:rsidRPr="00B435FA">
        <w:rPr>
          <w:rFonts w:ascii="Book Antiqua" w:eastAsia="Times New Roman" w:hAnsi="Book Antiqua" w:cs="Arial"/>
          <w:sz w:val="20"/>
          <w:szCs w:val="20"/>
        </w:rPr>
        <w:t>means a cap, cover, hatch, lid, plug, seal, valve, or other type of fitting that, when the device is secured in the closed position, prevents or reduces air emissions to the atmosphere by blocking an opening to the individual drain system. Closure devices include devices that are detachable (e.g., a plug or manhole cover), manually operated (e.g., a hinged access lid or hatch), or automatically operated (e.g., a spring-loaded pressure relief valve).</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i/>
          <w:iCs/>
          <w:sz w:val="20"/>
          <w:szCs w:val="20"/>
        </w:rPr>
        <w:t xml:space="preserve">Hard-piping </w:t>
      </w:r>
      <w:r w:rsidRPr="00B435FA">
        <w:rPr>
          <w:rFonts w:ascii="Book Antiqua" w:eastAsia="Times New Roman" w:hAnsi="Book Antiqua" w:cs="Arial"/>
          <w:sz w:val="20"/>
          <w:szCs w:val="20"/>
        </w:rPr>
        <w:t>means pipe or tubing that is manufactured and properly installed in accordance with relevant standards (e.g., ANSI B31–3) and good engineering practices.</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i/>
          <w:iCs/>
          <w:sz w:val="20"/>
          <w:szCs w:val="20"/>
        </w:rPr>
        <w:t xml:space="preserve">Individual drain system </w:t>
      </w:r>
      <w:r w:rsidRPr="00B435FA">
        <w:rPr>
          <w:rFonts w:ascii="Book Antiqua" w:eastAsia="Times New Roman" w:hAnsi="Book Antiqua" w:cs="Arial"/>
          <w:sz w:val="20"/>
          <w:szCs w:val="20"/>
        </w:rPr>
        <w:t xml:space="preserve">means a stationary system used to convey regulated-material to a waste management unit or to discharge or disposal. The term includes hard-piping, all drains and junction boxes, together with their associated sewer lines and other junction boxes (e.g., manholes, sumps, and lift stations) conveying regulated-material. For the purpose of this subpart, an individual drain system is not a drain and collection system that is designed and operated for the sole purpose of collecting rainfall runoff (e.g., </w:t>
      </w:r>
      <w:proofErr w:type="spellStart"/>
      <w:r w:rsidRPr="00B435FA">
        <w:rPr>
          <w:rFonts w:ascii="Book Antiqua" w:eastAsia="Times New Roman" w:hAnsi="Book Antiqua" w:cs="Arial"/>
          <w:sz w:val="20"/>
          <w:szCs w:val="20"/>
        </w:rPr>
        <w:t>stormwater</w:t>
      </w:r>
      <w:proofErr w:type="spellEnd"/>
      <w:r w:rsidRPr="00B435FA">
        <w:rPr>
          <w:rFonts w:ascii="Book Antiqua" w:eastAsia="Times New Roman" w:hAnsi="Book Antiqua" w:cs="Arial"/>
          <w:sz w:val="20"/>
          <w:szCs w:val="20"/>
        </w:rPr>
        <w:t xml:space="preserve"> sewer system) and is segregated from all other individual drain systems.</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i/>
          <w:iCs/>
          <w:sz w:val="20"/>
          <w:szCs w:val="20"/>
        </w:rPr>
        <w:t xml:space="preserve">Junction box </w:t>
      </w:r>
      <w:r w:rsidRPr="00B435FA">
        <w:rPr>
          <w:rFonts w:ascii="Book Antiqua" w:eastAsia="Times New Roman" w:hAnsi="Book Antiqua" w:cs="Arial"/>
          <w:sz w:val="20"/>
          <w:szCs w:val="20"/>
        </w:rPr>
        <w:t>means a sump, manhole, or access point to a sewer line or a lift station.</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i/>
          <w:iCs/>
          <w:sz w:val="20"/>
          <w:szCs w:val="20"/>
        </w:rPr>
        <w:t xml:space="preserve">Regulated-material </w:t>
      </w:r>
      <w:r w:rsidRPr="00B435FA">
        <w:rPr>
          <w:rFonts w:ascii="Book Antiqua" w:eastAsia="Times New Roman" w:hAnsi="Book Antiqua" w:cs="Arial"/>
          <w:sz w:val="20"/>
          <w:szCs w:val="20"/>
        </w:rPr>
        <w:t>means the wastewater streams, residuals, and any other materials specified by the referencing subpart to be managed in accordance with the standards under this subpart.</w:t>
      </w:r>
    </w:p>
    <w:p w:rsidR="00B435FA" w:rsidRDefault="00B435FA">
      <w:pPr>
        <w:rPr>
          <w:rFonts w:ascii="Book Antiqua" w:eastAsia="Times New Roman" w:hAnsi="Book Antiqua" w:cs="Arial"/>
          <w:i/>
          <w:iCs/>
          <w:sz w:val="20"/>
          <w:szCs w:val="20"/>
        </w:rPr>
      </w:pPr>
      <w:r>
        <w:rPr>
          <w:rFonts w:ascii="Book Antiqua" w:eastAsia="Times New Roman" w:hAnsi="Book Antiqua" w:cs="Arial"/>
          <w:i/>
          <w:iCs/>
          <w:sz w:val="20"/>
          <w:szCs w:val="20"/>
        </w:rPr>
        <w:br w:type="page"/>
      </w:r>
    </w:p>
    <w:p w:rsidR="00B435FA" w:rsidRDefault="00B435FA" w:rsidP="00B435FA">
      <w:pPr>
        <w:spacing w:before="100" w:beforeAutospacing="1" w:after="100" w:afterAutospacing="1" w:line="240" w:lineRule="auto"/>
        <w:rPr>
          <w:rFonts w:ascii="Book Antiqua" w:eastAsia="Times New Roman" w:hAnsi="Book Antiqua" w:cs="Arial"/>
          <w:i/>
          <w:iCs/>
          <w:sz w:val="20"/>
          <w:szCs w:val="20"/>
        </w:rPr>
      </w:pP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i/>
          <w:iCs/>
          <w:sz w:val="20"/>
          <w:szCs w:val="20"/>
        </w:rPr>
        <w:t xml:space="preserve">Sewer line </w:t>
      </w:r>
      <w:r w:rsidRPr="00B435FA">
        <w:rPr>
          <w:rFonts w:ascii="Book Antiqua" w:eastAsia="Times New Roman" w:hAnsi="Book Antiqua" w:cs="Arial"/>
          <w:sz w:val="20"/>
          <w:szCs w:val="20"/>
        </w:rPr>
        <w:t xml:space="preserve">means a lateral, trunk line, branch line, or other conduit used to convey regulated-material to a </w:t>
      </w:r>
      <w:proofErr w:type="gramStart"/>
      <w:r w:rsidRPr="00B435FA">
        <w:rPr>
          <w:rFonts w:ascii="Book Antiqua" w:eastAsia="Times New Roman" w:hAnsi="Book Antiqua" w:cs="Arial"/>
          <w:sz w:val="20"/>
          <w:szCs w:val="20"/>
        </w:rPr>
        <w:t>downstream</w:t>
      </w:r>
      <w:proofErr w:type="gramEnd"/>
      <w:r w:rsidRPr="00B435FA">
        <w:rPr>
          <w:rFonts w:ascii="Book Antiqua" w:eastAsia="Times New Roman" w:hAnsi="Book Antiqua" w:cs="Arial"/>
          <w:sz w:val="20"/>
          <w:szCs w:val="20"/>
        </w:rPr>
        <w:t xml:space="preserve"> waste management unit. Sewer lines include pipes, grates, and trenches.</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i/>
          <w:iCs/>
          <w:sz w:val="20"/>
          <w:szCs w:val="20"/>
        </w:rPr>
        <w:t xml:space="preserve">Waste management unit </w:t>
      </w:r>
      <w:r w:rsidRPr="00B435FA">
        <w:rPr>
          <w:rFonts w:ascii="Book Antiqua" w:eastAsia="Times New Roman" w:hAnsi="Book Antiqua" w:cs="Arial"/>
          <w:sz w:val="20"/>
          <w:szCs w:val="20"/>
        </w:rPr>
        <w:t>means the equipment, structure, or device used to convey, store, treat, or dispose of regulated-material. Examples of waste management units include: wastewater tanks, surface impoundments, individual drain systems, and biological wastewater treatment units. Examples of equipment that may be waste management units include containers, air flotation units, oil-water separators or organic-water separators, or organic removal devices such as decanters, strippers, or thin-film evaporation units.</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i/>
          <w:iCs/>
          <w:sz w:val="20"/>
          <w:szCs w:val="20"/>
        </w:rPr>
        <w:t xml:space="preserve">Water seal </w:t>
      </w:r>
      <w:r w:rsidRPr="00B435FA">
        <w:rPr>
          <w:rFonts w:ascii="Book Antiqua" w:eastAsia="Times New Roman" w:hAnsi="Book Antiqua" w:cs="Arial"/>
          <w:sz w:val="20"/>
          <w:szCs w:val="20"/>
        </w:rPr>
        <w:t>means a seal pot, p-leg trap, or other type of trap filled with water (e.g., flooded sewers that maintain liquid levels adequate to prevent air flow through the system) that creates a liquid barrier between the sewer line and the atmosphere. The liquid level of the seal must be maintained in the vertical leg of a drain in order to be considered a water seal.</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sz w:val="20"/>
          <w:szCs w:val="20"/>
        </w:rPr>
        <w:t>[61 FR 34193, July 1, 1996, as amended at 64 FR 38989, July 20, 1999]</w:t>
      </w:r>
    </w:p>
    <w:p w:rsidR="00B435FA" w:rsidRPr="00B435FA" w:rsidRDefault="00B435FA" w:rsidP="00B435FA">
      <w:pPr>
        <w:spacing w:before="100" w:beforeAutospacing="1" w:after="100" w:afterAutospacing="1" w:line="240" w:lineRule="auto"/>
        <w:outlineLvl w:val="4"/>
        <w:rPr>
          <w:rFonts w:ascii="Book Antiqua" w:eastAsia="Times New Roman" w:hAnsi="Book Antiqua" w:cs="Arial"/>
          <w:b/>
          <w:bCs/>
          <w:sz w:val="20"/>
          <w:szCs w:val="20"/>
        </w:rPr>
      </w:pPr>
      <w:r w:rsidRPr="00B435FA">
        <w:rPr>
          <w:rFonts w:ascii="Book Antiqua" w:eastAsia="Times New Roman" w:hAnsi="Book Antiqua" w:cs="Arial"/>
          <w:b/>
          <w:bCs/>
          <w:sz w:val="20"/>
          <w:szCs w:val="20"/>
        </w:rPr>
        <w:t>§ 63.962   Standards.</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sz w:val="20"/>
          <w:szCs w:val="20"/>
        </w:rPr>
        <w:t>(a) The owner or operator subject to this subpart shall control air emissions from the individual drain system using one or a combination of the following:</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sz w:val="20"/>
          <w:szCs w:val="20"/>
        </w:rPr>
        <w:t>(1) Covers, water seals, and other air emission control equipment as specified in paragraph (b) of this section.</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sz w:val="20"/>
          <w:szCs w:val="20"/>
        </w:rPr>
        <w:t>(2) Hard-piping.</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sz w:val="20"/>
          <w:szCs w:val="20"/>
        </w:rPr>
        <w:t>(3) Venting of the individual drain system through a closed vent system to a control device in accordance with the following requirements:</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sz w:val="20"/>
          <w:szCs w:val="20"/>
        </w:rPr>
        <w:t>(</w:t>
      </w:r>
      <w:proofErr w:type="spellStart"/>
      <w:r w:rsidRPr="00B435FA">
        <w:rPr>
          <w:rFonts w:ascii="Book Antiqua" w:eastAsia="Times New Roman" w:hAnsi="Book Antiqua" w:cs="Arial"/>
          <w:sz w:val="20"/>
          <w:szCs w:val="20"/>
        </w:rPr>
        <w:t>i</w:t>
      </w:r>
      <w:proofErr w:type="spellEnd"/>
      <w:r w:rsidRPr="00B435FA">
        <w:rPr>
          <w:rFonts w:ascii="Book Antiqua" w:eastAsia="Times New Roman" w:hAnsi="Book Antiqua" w:cs="Arial"/>
          <w:sz w:val="20"/>
          <w:szCs w:val="20"/>
        </w:rPr>
        <w:t>) The individual drain system is designed and operated such that an internal pressure in the vapor headspace in the system is maintained at a level less than atmospheric pressure when the control device is operating, and</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sz w:val="20"/>
          <w:szCs w:val="20"/>
        </w:rPr>
        <w:t>(ii) The closed vent system and control device are designed and operated in accordance with the requirements of §63.693 in 40 CFR part 63, subpart DD—National Emission Standards for Hazardous Air Pollutant Standards from Off-Site Waste and Recovery Operations.</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sz w:val="20"/>
          <w:szCs w:val="20"/>
        </w:rPr>
        <w:t>(b) Owners and operators controlling air emissions from an individual drain system in accordance with paragraph (a</w:t>
      </w:r>
      <w:proofErr w:type="gramStart"/>
      <w:r w:rsidRPr="00B435FA">
        <w:rPr>
          <w:rFonts w:ascii="Book Antiqua" w:eastAsia="Times New Roman" w:hAnsi="Book Antiqua" w:cs="Arial"/>
          <w:sz w:val="20"/>
          <w:szCs w:val="20"/>
        </w:rPr>
        <w:t>)(</w:t>
      </w:r>
      <w:proofErr w:type="gramEnd"/>
      <w:r w:rsidRPr="00B435FA">
        <w:rPr>
          <w:rFonts w:ascii="Book Antiqua" w:eastAsia="Times New Roman" w:hAnsi="Book Antiqua" w:cs="Arial"/>
          <w:sz w:val="20"/>
          <w:szCs w:val="20"/>
        </w:rPr>
        <w:t>1) of this section shall meet the following requirements:</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sz w:val="20"/>
          <w:szCs w:val="20"/>
        </w:rPr>
        <w:t>(1) The individual drain system shall be designed to segregate the organic vapors from regulated material managed in the controlled individual drain system from entering any other individual drain system that is not controlled for air emissions in accordance with the standards specified in this subpart.</w:t>
      </w:r>
    </w:p>
    <w:p w:rsidR="00B435FA" w:rsidRDefault="00B435FA">
      <w:pPr>
        <w:rPr>
          <w:rFonts w:ascii="Book Antiqua" w:eastAsia="Times New Roman" w:hAnsi="Book Antiqua" w:cs="Arial"/>
          <w:sz w:val="20"/>
          <w:szCs w:val="20"/>
        </w:rPr>
      </w:pPr>
      <w:r>
        <w:rPr>
          <w:rFonts w:ascii="Book Antiqua" w:eastAsia="Times New Roman" w:hAnsi="Book Antiqua" w:cs="Arial"/>
          <w:sz w:val="20"/>
          <w:szCs w:val="20"/>
        </w:rPr>
        <w:br w:type="page"/>
      </w:r>
    </w:p>
    <w:p w:rsidR="00B435FA" w:rsidRDefault="00B435FA" w:rsidP="00B435FA">
      <w:pPr>
        <w:spacing w:before="100" w:beforeAutospacing="1" w:after="100" w:afterAutospacing="1" w:line="240" w:lineRule="auto"/>
        <w:rPr>
          <w:rFonts w:ascii="Book Antiqua" w:eastAsia="Times New Roman" w:hAnsi="Book Antiqua" w:cs="Arial"/>
          <w:sz w:val="20"/>
          <w:szCs w:val="20"/>
        </w:rPr>
      </w:pP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sz w:val="20"/>
          <w:szCs w:val="20"/>
        </w:rPr>
        <w:t xml:space="preserve">(2) </w:t>
      </w:r>
      <w:r w:rsidRPr="00B435FA">
        <w:rPr>
          <w:rFonts w:ascii="Book Antiqua" w:eastAsia="Times New Roman" w:hAnsi="Book Antiqua" w:cs="Arial"/>
          <w:i/>
          <w:iCs/>
          <w:sz w:val="20"/>
          <w:szCs w:val="20"/>
        </w:rPr>
        <w:t xml:space="preserve">Drain control requirements. </w:t>
      </w:r>
      <w:r w:rsidRPr="00B435FA">
        <w:rPr>
          <w:rFonts w:ascii="Book Antiqua" w:eastAsia="Times New Roman" w:hAnsi="Book Antiqua" w:cs="Arial"/>
          <w:sz w:val="20"/>
          <w:szCs w:val="20"/>
        </w:rPr>
        <w:t>Each drain shall be equipped with either a water seal or a closure device in accordance with the following requirements:</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sz w:val="20"/>
          <w:szCs w:val="20"/>
        </w:rPr>
        <w:t>(</w:t>
      </w:r>
      <w:proofErr w:type="spellStart"/>
      <w:r w:rsidRPr="00B435FA">
        <w:rPr>
          <w:rFonts w:ascii="Book Antiqua" w:eastAsia="Times New Roman" w:hAnsi="Book Antiqua" w:cs="Arial"/>
          <w:sz w:val="20"/>
          <w:szCs w:val="20"/>
        </w:rPr>
        <w:t>i</w:t>
      </w:r>
      <w:proofErr w:type="spellEnd"/>
      <w:r w:rsidRPr="00B435FA">
        <w:rPr>
          <w:rFonts w:ascii="Book Antiqua" w:eastAsia="Times New Roman" w:hAnsi="Book Antiqua" w:cs="Arial"/>
          <w:sz w:val="20"/>
          <w:szCs w:val="20"/>
        </w:rPr>
        <w:t>) When a water seal is used, the water seal shall be designed such that either:</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sz w:val="20"/>
          <w:szCs w:val="20"/>
        </w:rPr>
        <w:t>(A) The outlet to the pipe discharging the regulated-material extends below the liquid surface in the water seal of the drain; or</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sz w:val="20"/>
          <w:szCs w:val="20"/>
        </w:rPr>
        <w:t>(B) A flexible shield or other device is installed which restricts wind motion across the open space between the outlet of the pipe discharging the regulated material and the drain.</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sz w:val="20"/>
          <w:szCs w:val="20"/>
        </w:rPr>
        <w:t>(ii) When a closure device is used (e.g., securing a cap or plug on a drain that is not receiving regulated-material), the closure device shall be designed to operate such that when the closure device is secured in the closed position there are no visible cracks, holes, gaps, or other open spaces in the closure device or between the perimeter of the drain opening and the closure device.</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sz w:val="20"/>
          <w:szCs w:val="20"/>
        </w:rPr>
        <w:t xml:space="preserve">(3) </w:t>
      </w:r>
      <w:r w:rsidRPr="00B435FA">
        <w:rPr>
          <w:rFonts w:ascii="Book Antiqua" w:eastAsia="Times New Roman" w:hAnsi="Book Antiqua" w:cs="Arial"/>
          <w:i/>
          <w:iCs/>
          <w:sz w:val="20"/>
          <w:szCs w:val="20"/>
        </w:rPr>
        <w:t xml:space="preserve">Junction box control requirements. </w:t>
      </w:r>
      <w:r w:rsidRPr="00B435FA">
        <w:rPr>
          <w:rFonts w:ascii="Book Antiqua" w:eastAsia="Times New Roman" w:hAnsi="Book Antiqua" w:cs="Arial"/>
          <w:sz w:val="20"/>
          <w:szCs w:val="20"/>
        </w:rPr>
        <w:t>Each junction box shall be equipped with controls as follows:</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sz w:val="20"/>
          <w:szCs w:val="20"/>
        </w:rPr>
        <w:t>(</w:t>
      </w:r>
      <w:proofErr w:type="spellStart"/>
      <w:r w:rsidRPr="00B435FA">
        <w:rPr>
          <w:rFonts w:ascii="Book Antiqua" w:eastAsia="Times New Roman" w:hAnsi="Book Antiqua" w:cs="Arial"/>
          <w:sz w:val="20"/>
          <w:szCs w:val="20"/>
        </w:rPr>
        <w:t>i</w:t>
      </w:r>
      <w:proofErr w:type="spellEnd"/>
      <w:r w:rsidRPr="00B435FA">
        <w:rPr>
          <w:rFonts w:ascii="Book Antiqua" w:eastAsia="Times New Roman" w:hAnsi="Book Antiqua" w:cs="Arial"/>
          <w:sz w:val="20"/>
          <w:szCs w:val="20"/>
        </w:rPr>
        <w:t>) The junction box shall be equipped with a closure device (e.g., manhole cover, access hatch) that is designed to operate such that when the closure device is secured in the closed position there are no visible cracks, holes, gaps, or other open spaces in the closure device or between the perimeter of the junction box opening and the closure device.</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sz w:val="20"/>
          <w:szCs w:val="20"/>
        </w:rPr>
        <w:t>(ii) If the junction box is vented, the junction box shall be vented in accordance with the following requirements:</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sz w:val="20"/>
          <w:szCs w:val="20"/>
        </w:rPr>
        <w:t>(A) The junction box shall be vented through a closed vent system to a control device except as provided for in paragraph (b</w:t>
      </w:r>
      <w:proofErr w:type="gramStart"/>
      <w:r w:rsidRPr="00B435FA">
        <w:rPr>
          <w:rFonts w:ascii="Book Antiqua" w:eastAsia="Times New Roman" w:hAnsi="Book Antiqua" w:cs="Arial"/>
          <w:sz w:val="20"/>
          <w:szCs w:val="20"/>
        </w:rPr>
        <w:t>)(</w:t>
      </w:r>
      <w:proofErr w:type="gramEnd"/>
      <w:r w:rsidRPr="00B435FA">
        <w:rPr>
          <w:rFonts w:ascii="Book Antiqua" w:eastAsia="Times New Roman" w:hAnsi="Book Antiqua" w:cs="Arial"/>
          <w:sz w:val="20"/>
          <w:szCs w:val="20"/>
        </w:rPr>
        <w:t>3)(ii)(B) of this section. The closed vent system and control device shall be designed and operated in accordance with the standards specified in §63.693.</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sz w:val="20"/>
          <w:szCs w:val="20"/>
        </w:rPr>
        <w:t>(B) As an alternative to paragraph (b</w:t>
      </w:r>
      <w:proofErr w:type="gramStart"/>
      <w:r w:rsidRPr="00B435FA">
        <w:rPr>
          <w:rFonts w:ascii="Book Antiqua" w:eastAsia="Times New Roman" w:hAnsi="Book Antiqua" w:cs="Arial"/>
          <w:sz w:val="20"/>
          <w:szCs w:val="20"/>
        </w:rPr>
        <w:t>)(</w:t>
      </w:r>
      <w:proofErr w:type="gramEnd"/>
      <w:r w:rsidRPr="00B435FA">
        <w:rPr>
          <w:rFonts w:ascii="Book Antiqua" w:eastAsia="Times New Roman" w:hAnsi="Book Antiqua" w:cs="Arial"/>
          <w:sz w:val="20"/>
          <w:szCs w:val="20"/>
        </w:rPr>
        <w:t>3)(ii)(A) of this section, the owner or operator may vent the junction box directly to the atmosphere when all of the following conditions are met:</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proofErr w:type="gramStart"/>
      <w:r w:rsidRPr="00B435FA">
        <w:rPr>
          <w:rFonts w:ascii="Book Antiqua" w:eastAsia="Times New Roman" w:hAnsi="Book Antiqua" w:cs="Arial"/>
          <w:sz w:val="20"/>
          <w:szCs w:val="20"/>
        </w:rPr>
        <w:t xml:space="preserve">( </w:t>
      </w:r>
      <w:r w:rsidRPr="00B435FA">
        <w:rPr>
          <w:rFonts w:ascii="Book Antiqua" w:eastAsia="Times New Roman" w:hAnsi="Book Antiqua" w:cs="Arial"/>
          <w:i/>
          <w:iCs/>
          <w:sz w:val="20"/>
          <w:szCs w:val="20"/>
        </w:rPr>
        <w:t>1</w:t>
      </w:r>
      <w:proofErr w:type="gramEnd"/>
      <w:r w:rsidRPr="00B435FA">
        <w:rPr>
          <w:rFonts w:ascii="Book Antiqua" w:eastAsia="Times New Roman" w:hAnsi="Book Antiqua" w:cs="Arial"/>
          <w:i/>
          <w:iCs/>
          <w:sz w:val="20"/>
          <w:szCs w:val="20"/>
        </w:rPr>
        <w:t xml:space="preserve"> </w:t>
      </w:r>
      <w:r w:rsidRPr="00B435FA">
        <w:rPr>
          <w:rFonts w:ascii="Book Antiqua" w:eastAsia="Times New Roman" w:hAnsi="Book Antiqua" w:cs="Arial"/>
          <w:sz w:val="20"/>
          <w:szCs w:val="20"/>
        </w:rPr>
        <w:t>) The junction box is filled and emptied by gravity flow (i.e., there is no pump) or is operated with no more than slight fluctuations in the liquid level. Large changes in the size of the junction box vapor headspace created by using a pump to repeatedly empty and then refill the junction box do not meet this condition.</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proofErr w:type="gramStart"/>
      <w:r w:rsidRPr="00B435FA">
        <w:rPr>
          <w:rFonts w:ascii="Book Antiqua" w:eastAsia="Times New Roman" w:hAnsi="Book Antiqua" w:cs="Arial"/>
          <w:sz w:val="20"/>
          <w:szCs w:val="20"/>
        </w:rPr>
        <w:t xml:space="preserve">( </w:t>
      </w:r>
      <w:r w:rsidRPr="00B435FA">
        <w:rPr>
          <w:rFonts w:ascii="Book Antiqua" w:eastAsia="Times New Roman" w:hAnsi="Book Antiqua" w:cs="Arial"/>
          <w:i/>
          <w:iCs/>
          <w:sz w:val="20"/>
          <w:szCs w:val="20"/>
        </w:rPr>
        <w:t>2</w:t>
      </w:r>
      <w:proofErr w:type="gramEnd"/>
      <w:r w:rsidRPr="00B435FA">
        <w:rPr>
          <w:rFonts w:ascii="Book Antiqua" w:eastAsia="Times New Roman" w:hAnsi="Book Antiqua" w:cs="Arial"/>
          <w:i/>
          <w:iCs/>
          <w:sz w:val="20"/>
          <w:szCs w:val="20"/>
        </w:rPr>
        <w:t xml:space="preserve"> </w:t>
      </w:r>
      <w:r w:rsidRPr="00B435FA">
        <w:rPr>
          <w:rFonts w:ascii="Book Antiqua" w:eastAsia="Times New Roman" w:hAnsi="Book Antiqua" w:cs="Arial"/>
          <w:sz w:val="20"/>
          <w:szCs w:val="20"/>
        </w:rPr>
        <w:t>) The vent pipe installed on the junction box shall be at least 90 centimeters in length and no greater than 10 centimeters in nominal inside diameter.</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proofErr w:type="gramStart"/>
      <w:r w:rsidRPr="00B435FA">
        <w:rPr>
          <w:rFonts w:ascii="Book Antiqua" w:eastAsia="Times New Roman" w:hAnsi="Book Antiqua" w:cs="Arial"/>
          <w:sz w:val="20"/>
          <w:szCs w:val="20"/>
        </w:rPr>
        <w:t xml:space="preserve">( </w:t>
      </w:r>
      <w:r w:rsidRPr="00B435FA">
        <w:rPr>
          <w:rFonts w:ascii="Book Antiqua" w:eastAsia="Times New Roman" w:hAnsi="Book Antiqua" w:cs="Arial"/>
          <w:i/>
          <w:iCs/>
          <w:sz w:val="20"/>
          <w:szCs w:val="20"/>
        </w:rPr>
        <w:t>3</w:t>
      </w:r>
      <w:proofErr w:type="gramEnd"/>
      <w:r w:rsidRPr="00B435FA">
        <w:rPr>
          <w:rFonts w:ascii="Book Antiqua" w:eastAsia="Times New Roman" w:hAnsi="Book Antiqua" w:cs="Arial"/>
          <w:i/>
          <w:iCs/>
          <w:sz w:val="20"/>
          <w:szCs w:val="20"/>
        </w:rPr>
        <w:t xml:space="preserve"> </w:t>
      </w:r>
      <w:r w:rsidRPr="00B435FA">
        <w:rPr>
          <w:rFonts w:ascii="Book Antiqua" w:eastAsia="Times New Roman" w:hAnsi="Book Antiqua" w:cs="Arial"/>
          <w:sz w:val="20"/>
          <w:szCs w:val="20"/>
        </w:rPr>
        <w:t>) Water seals are installed at the liquid entrance(s) to or exit from the junction box to restrict ventilation in the individual drain system and between components in the individual drain system. The owner or operator shall demonstrate (e.g., by visual inspection or smoke test) upon request by the Administrator that the junction box water seal is properly designed and restricts ventilation.</w:t>
      </w:r>
    </w:p>
    <w:p w:rsidR="00B435FA" w:rsidRDefault="00B435FA" w:rsidP="00B435FA">
      <w:pPr>
        <w:spacing w:before="100" w:beforeAutospacing="1" w:after="100" w:afterAutospacing="1" w:line="240" w:lineRule="auto"/>
        <w:rPr>
          <w:rFonts w:ascii="Book Antiqua" w:eastAsia="Times New Roman" w:hAnsi="Book Antiqua" w:cs="Arial"/>
          <w:sz w:val="20"/>
          <w:szCs w:val="20"/>
        </w:rPr>
      </w:pPr>
    </w:p>
    <w:p w:rsidR="00B435FA" w:rsidRDefault="00B435FA" w:rsidP="00B435FA">
      <w:pPr>
        <w:spacing w:before="100" w:beforeAutospacing="1" w:after="100" w:afterAutospacing="1" w:line="240" w:lineRule="auto"/>
        <w:rPr>
          <w:rFonts w:ascii="Book Antiqua" w:eastAsia="Times New Roman" w:hAnsi="Book Antiqua" w:cs="Arial"/>
          <w:sz w:val="20"/>
          <w:szCs w:val="20"/>
        </w:rPr>
      </w:pP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sz w:val="20"/>
          <w:szCs w:val="20"/>
        </w:rPr>
        <w:t xml:space="preserve">(4) </w:t>
      </w:r>
      <w:r w:rsidRPr="00B435FA">
        <w:rPr>
          <w:rFonts w:ascii="Book Antiqua" w:eastAsia="Times New Roman" w:hAnsi="Book Antiqua" w:cs="Arial"/>
          <w:i/>
          <w:iCs/>
          <w:sz w:val="20"/>
          <w:szCs w:val="20"/>
        </w:rPr>
        <w:t xml:space="preserve">Sewer line control requirements. </w:t>
      </w:r>
      <w:r w:rsidRPr="00B435FA">
        <w:rPr>
          <w:rFonts w:ascii="Book Antiqua" w:eastAsia="Times New Roman" w:hAnsi="Book Antiqua" w:cs="Arial"/>
          <w:sz w:val="20"/>
          <w:szCs w:val="20"/>
        </w:rPr>
        <w:t>Each sewer line shall not be open to the atmosphere and shall be covered or closed in a manner such that there are no visible cracks, holes, gaps, or other open spaces in the sewer line joints, seals, or other emission interfaces.</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sz w:val="20"/>
          <w:szCs w:val="20"/>
        </w:rPr>
        <w:t xml:space="preserve">(5) </w:t>
      </w:r>
      <w:r w:rsidRPr="00B435FA">
        <w:rPr>
          <w:rFonts w:ascii="Book Antiqua" w:eastAsia="Times New Roman" w:hAnsi="Book Antiqua" w:cs="Arial"/>
          <w:i/>
          <w:iCs/>
          <w:sz w:val="20"/>
          <w:szCs w:val="20"/>
        </w:rPr>
        <w:t xml:space="preserve">Operating requirements. </w:t>
      </w:r>
      <w:r w:rsidRPr="00B435FA">
        <w:rPr>
          <w:rFonts w:ascii="Book Antiqua" w:eastAsia="Times New Roman" w:hAnsi="Book Antiqua" w:cs="Arial"/>
          <w:sz w:val="20"/>
          <w:szCs w:val="20"/>
        </w:rPr>
        <w:t>The owner or operator shall operate the air emission controls required by paragraphs (b</w:t>
      </w:r>
      <w:proofErr w:type="gramStart"/>
      <w:r w:rsidRPr="00B435FA">
        <w:rPr>
          <w:rFonts w:ascii="Book Antiqua" w:eastAsia="Times New Roman" w:hAnsi="Book Antiqua" w:cs="Arial"/>
          <w:sz w:val="20"/>
          <w:szCs w:val="20"/>
        </w:rPr>
        <w:t>)(</w:t>
      </w:r>
      <w:proofErr w:type="gramEnd"/>
      <w:r w:rsidRPr="00B435FA">
        <w:rPr>
          <w:rFonts w:ascii="Book Antiqua" w:eastAsia="Times New Roman" w:hAnsi="Book Antiqua" w:cs="Arial"/>
          <w:sz w:val="20"/>
          <w:szCs w:val="20"/>
        </w:rPr>
        <w:t>2) through (b)(4) of this section in accordance with the following requirements:</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sz w:val="20"/>
          <w:szCs w:val="20"/>
        </w:rPr>
        <w:t>(</w:t>
      </w:r>
      <w:proofErr w:type="spellStart"/>
      <w:r w:rsidRPr="00B435FA">
        <w:rPr>
          <w:rFonts w:ascii="Book Antiqua" w:eastAsia="Times New Roman" w:hAnsi="Book Antiqua" w:cs="Arial"/>
          <w:sz w:val="20"/>
          <w:szCs w:val="20"/>
        </w:rPr>
        <w:t>i</w:t>
      </w:r>
      <w:proofErr w:type="spellEnd"/>
      <w:r w:rsidRPr="00B435FA">
        <w:rPr>
          <w:rFonts w:ascii="Book Antiqua" w:eastAsia="Times New Roman" w:hAnsi="Book Antiqua" w:cs="Arial"/>
          <w:sz w:val="20"/>
          <w:szCs w:val="20"/>
        </w:rPr>
        <w:t>) Each closure device shall be maintained in a closed position whenever regulated-material is in the individual drain system except when it is necessary to remove or open the closure device for sampling or removing material in the individual drain system, or for equipment inspection, maintenance, or repair.</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sz w:val="20"/>
          <w:szCs w:val="20"/>
        </w:rPr>
        <w:t>(ii) Each drain equipped with a water seal and open to the atmosphere shall be operated to ensure that the liquid in the water seal is maintained at the appropriate level. Examples of acceptable means for complying with this provision include but are not limited to using a flow-monitoring device indicating positive flow from a main to a branch water line supplying a trap; continuously dripping water into the trap using a hose; or regular visual observations.</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sz w:val="20"/>
          <w:szCs w:val="20"/>
        </w:rPr>
        <w:t>(iii) Each closed-vent system and the control device used to comply with paragraph (b</w:t>
      </w:r>
      <w:proofErr w:type="gramStart"/>
      <w:r w:rsidRPr="00B435FA">
        <w:rPr>
          <w:rFonts w:ascii="Book Antiqua" w:eastAsia="Times New Roman" w:hAnsi="Book Antiqua" w:cs="Arial"/>
          <w:sz w:val="20"/>
          <w:szCs w:val="20"/>
        </w:rPr>
        <w:t>)(</w:t>
      </w:r>
      <w:proofErr w:type="gramEnd"/>
      <w:r w:rsidRPr="00B435FA">
        <w:rPr>
          <w:rFonts w:ascii="Book Antiqua" w:eastAsia="Times New Roman" w:hAnsi="Book Antiqua" w:cs="Arial"/>
          <w:sz w:val="20"/>
          <w:szCs w:val="20"/>
        </w:rPr>
        <w:t>3)(ii)(A) of this section shall be operated in accordance with the standards specified in 40 CFR 63.693.</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sz w:val="20"/>
          <w:szCs w:val="20"/>
        </w:rPr>
        <w:t>[61 FR 34193, July 1, 1996, as amended at 64 FR 38990, July 20, 1999; 66 FR 1267, Jan. 8, 2001]</w:t>
      </w:r>
    </w:p>
    <w:p w:rsidR="00B435FA" w:rsidRPr="00B435FA" w:rsidRDefault="00B435FA" w:rsidP="00B435FA">
      <w:pPr>
        <w:spacing w:before="100" w:beforeAutospacing="1" w:after="100" w:afterAutospacing="1" w:line="240" w:lineRule="auto"/>
        <w:outlineLvl w:val="4"/>
        <w:rPr>
          <w:rFonts w:ascii="Book Antiqua" w:eastAsia="Times New Roman" w:hAnsi="Book Antiqua" w:cs="Arial"/>
          <w:b/>
          <w:bCs/>
          <w:sz w:val="20"/>
          <w:szCs w:val="20"/>
        </w:rPr>
      </w:pPr>
      <w:r w:rsidRPr="00B435FA">
        <w:rPr>
          <w:rFonts w:ascii="Book Antiqua" w:eastAsia="Times New Roman" w:hAnsi="Book Antiqua" w:cs="Arial"/>
          <w:b/>
          <w:bCs/>
          <w:sz w:val="20"/>
          <w:szCs w:val="20"/>
        </w:rPr>
        <w:t>§ 63.963   [Reserved]</w:t>
      </w:r>
    </w:p>
    <w:p w:rsidR="00B435FA" w:rsidRPr="00B435FA" w:rsidRDefault="00B435FA" w:rsidP="00B435FA">
      <w:pPr>
        <w:spacing w:before="100" w:beforeAutospacing="1" w:after="100" w:afterAutospacing="1" w:line="240" w:lineRule="auto"/>
        <w:outlineLvl w:val="4"/>
        <w:rPr>
          <w:rFonts w:ascii="Book Antiqua" w:eastAsia="Times New Roman" w:hAnsi="Book Antiqua" w:cs="Arial"/>
          <w:b/>
          <w:bCs/>
          <w:sz w:val="20"/>
          <w:szCs w:val="20"/>
        </w:rPr>
      </w:pPr>
      <w:r w:rsidRPr="00B435FA">
        <w:rPr>
          <w:rFonts w:ascii="Book Antiqua" w:eastAsia="Times New Roman" w:hAnsi="Book Antiqua" w:cs="Arial"/>
          <w:b/>
          <w:bCs/>
          <w:sz w:val="20"/>
          <w:szCs w:val="20"/>
        </w:rPr>
        <w:t>§ 63.964   Inspection and monitoring requirements.</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sz w:val="20"/>
          <w:szCs w:val="20"/>
        </w:rPr>
        <w:t>(a) The owner or operator shall inspect the individual drain system in accordance with the following requirements:</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sz w:val="20"/>
          <w:szCs w:val="20"/>
        </w:rPr>
        <w:t>(1) The individual drain system shall be visually inspected by the owner or operator as follows to check for defects that could result in air emissions to the atmosphere.</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sz w:val="20"/>
          <w:szCs w:val="20"/>
        </w:rPr>
        <w:t>(</w:t>
      </w:r>
      <w:proofErr w:type="spellStart"/>
      <w:r w:rsidRPr="00B435FA">
        <w:rPr>
          <w:rFonts w:ascii="Book Antiqua" w:eastAsia="Times New Roman" w:hAnsi="Book Antiqua" w:cs="Arial"/>
          <w:sz w:val="20"/>
          <w:szCs w:val="20"/>
        </w:rPr>
        <w:t>i</w:t>
      </w:r>
      <w:proofErr w:type="spellEnd"/>
      <w:r w:rsidRPr="00B435FA">
        <w:rPr>
          <w:rFonts w:ascii="Book Antiqua" w:eastAsia="Times New Roman" w:hAnsi="Book Antiqua" w:cs="Arial"/>
          <w:sz w:val="20"/>
          <w:szCs w:val="20"/>
        </w:rPr>
        <w:t>) The owner or operator shall visually inspect each drain as follows:</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sz w:val="20"/>
          <w:szCs w:val="20"/>
        </w:rPr>
        <w:t>(A) In the case when the drain is using a water seal to control air emissions, the owner or operator shall verify appropriate liquid levels are being maintained and identify any other defects that could reduce water seal control effectiveness.</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sz w:val="20"/>
          <w:szCs w:val="20"/>
        </w:rPr>
        <w:t>(B) In the case when the drain is using a closure device to control air emissions, the owner or operator shall visually inspect each drain to verify that the closure device is in place and there are no defects. Defects include, but are not limited to, visible cracks, holes, or gaps in the closure devices; broken, cracked, or otherwise damaged seals or gaskets on closure devices; and broken or missing plugs, caps, or other closure devices.</w:t>
      </w:r>
    </w:p>
    <w:p w:rsidR="00B435FA" w:rsidRDefault="00B435FA">
      <w:pPr>
        <w:rPr>
          <w:rFonts w:ascii="Book Antiqua" w:eastAsia="Times New Roman" w:hAnsi="Book Antiqua" w:cs="Arial"/>
          <w:sz w:val="20"/>
          <w:szCs w:val="20"/>
        </w:rPr>
      </w:pPr>
      <w:r>
        <w:rPr>
          <w:rFonts w:ascii="Book Antiqua" w:eastAsia="Times New Roman" w:hAnsi="Book Antiqua" w:cs="Arial"/>
          <w:sz w:val="20"/>
          <w:szCs w:val="20"/>
        </w:rPr>
        <w:br w:type="page"/>
      </w:r>
    </w:p>
    <w:p w:rsidR="00B435FA" w:rsidRDefault="00B435FA" w:rsidP="00B435FA">
      <w:pPr>
        <w:spacing w:before="100" w:beforeAutospacing="1" w:after="100" w:afterAutospacing="1" w:line="240" w:lineRule="auto"/>
        <w:rPr>
          <w:rFonts w:ascii="Book Antiqua" w:eastAsia="Times New Roman" w:hAnsi="Book Antiqua" w:cs="Arial"/>
          <w:sz w:val="20"/>
          <w:szCs w:val="20"/>
        </w:rPr>
      </w:pP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sz w:val="20"/>
          <w:szCs w:val="20"/>
        </w:rPr>
        <w:t>(ii) The owner or operator shall visually inspect each junction box to verify that closure devices are in place and there are no defects. Defects include, but are not limited to, visible cracks, holes, or gaps in the closure devices; broken, cracked, or otherwise damaged seals or gaskets on closure devices; and broken or missing hatches, access covers, caps, or other closure devices.</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sz w:val="20"/>
          <w:szCs w:val="20"/>
        </w:rPr>
        <w:t>(iii) The owner or operator shall visually inspect the unburied portion of each sewer line to verify that all closure devices are in place and there are no defects. Defects include, but are not limited to, visible cracks, holes, gaps, or other open spaces in the sewer line joints, seals, or other emission interfaces.</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proofErr w:type="gramStart"/>
      <w:r w:rsidRPr="00B435FA">
        <w:rPr>
          <w:rFonts w:ascii="Book Antiqua" w:eastAsia="Times New Roman" w:hAnsi="Book Antiqua" w:cs="Arial"/>
          <w:sz w:val="20"/>
          <w:szCs w:val="20"/>
        </w:rPr>
        <w:t>(iv) The</w:t>
      </w:r>
      <w:proofErr w:type="gramEnd"/>
      <w:r w:rsidRPr="00B435FA">
        <w:rPr>
          <w:rFonts w:ascii="Book Antiqua" w:eastAsia="Times New Roman" w:hAnsi="Book Antiqua" w:cs="Arial"/>
          <w:sz w:val="20"/>
          <w:szCs w:val="20"/>
        </w:rPr>
        <w:t xml:space="preserve"> owner or operator shall perform the inspections initially at the time of installation of the water seals and closure devices for the individual drain system and, thereafter, at least once every year.</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sz w:val="20"/>
          <w:szCs w:val="20"/>
        </w:rPr>
        <w:t>(v) In the event that a defect is detected, the owner or operator shall repair the defect in accordance with the requirements of paragraph (b) of this section.</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proofErr w:type="gramStart"/>
      <w:r w:rsidRPr="00B435FA">
        <w:rPr>
          <w:rFonts w:ascii="Book Antiqua" w:eastAsia="Times New Roman" w:hAnsi="Book Antiqua" w:cs="Arial"/>
          <w:sz w:val="20"/>
          <w:szCs w:val="20"/>
        </w:rPr>
        <w:t>(vi) The</w:t>
      </w:r>
      <w:proofErr w:type="gramEnd"/>
      <w:r w:rsidRPr="00B435FA">
        <w:rPr>
          <w:rFonts w:ascii="Book Antiqua" w:eastAsia="Times New Roman" w:hAnsi="Book Antiqua" w:cs="Arial"/>
          <w:sz w:val="20"/>
          <w:szCs w:val="20"/>
        </w:rPr>
        <w:t xml:space="preserve"> owner or operator shall maintain a record of the inspection in accordance with the requirements specified in §63.965(a) of this subpart.</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sz w:val="20"/>
          <w:szCs w:val="20"/>
        </w:rPr>
        <w:t>(2) The owner or operator shall inspect and monitor the closed-vent system and the control device in accordance with the requirements specified in §63.693 in 40 CFR 63 subpart DD—National Emission Standards for Hazardous Air Pollutants from Off-Site Waste and Recovery Operations.</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sz w:val="20"/>
          <w:szCs w:val="20"/>
        </w:rPr>
        <w:t>(b) The owner or operator shall repair all detected defects as follows:</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sz w:val="20"/>
          <w:szCs w:val="20"/>
        </w:rPr>
        <w:t>(1) The owner or operator shall make first efforts at repair of the defect no later than 5 calendar days after detection and repair shall be completed as soon as possible but no later than 15 calendar days after detection except as provided in paragraph (b)(2) of this section.</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sz w:val="20"/>
          <w:szCs w:val="20"/>
        </w:rPr>
        <w:t>(2) Repair of a defect may be delayed beyond 15 calendar days if the owner or operator determines that repair of the defect requires emptying or temporary removal from service of the individual drain system and no alternative capacity is available at the facility site to accept the regulated-material normally managed in the individual drain system. In this case, the owner or operator shall repair the defect the next time the process or unit that is generating the regulated-material managed in the individual drain system stops operation. Repair of the defect shall be completed before the process or unit resumes operation.</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sz w:val="20"/>
          <w:szCs w:val="20"/>
        </w:rPr>
        <w:t>(3) The owner or operator shall maintain a record of the defect repair in accordance with the requirements specified in §63.965(a</w:t>
      </w:r>
      <w:proofErr w:type="gramStart"/>
      <w:r w:rsidRPr="00B435FA">
        <w:rPr>
          <w:rFonts w:ascii="Book Antiqua" w:eastAsia="Times New Roman" w:hAnsi="Book Antiqua" w:cs="Arial"/>
          <w:sz w:val="20"/>
          <w:szCs w:val="20"/>
        </w:rPr>
        <w:t>)(</w:t>
      </w:r>
      <w:proofErr w:type="gramEnd"/>
      <w:r w:rsidRPr="00B435FA">
        <w:rPr>
          <w:rFonts w:ascii="Book Antiqua" w:eastAsia="Times New Roman" w:hAnsi="Book Antiqua" w:cs="Arial"/>
          <w:sz w:val="20"/>
          <w:szCs w:val="20"/>
        </w:rPr>
        <w:t>3) of this subpart.</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sz w:val="20"/>
          <w:szCs w:val="20"/>
        </w:rPr>
        <w:t>[61 FR 34193, July 1, 1996, as amended at 64 FR 38990, July 20, 1999]</w:t>
      </w:r>
    </w:p>
    <w:p w:rsidR="00B435FA" w:rsidRPr="00B435FA" w:rsidRDefault="00B435FA" w:rsidP="00B435FA">
      <w:pPr>
        <w:spacing w:before="100" w:beforeAutospacing="1" w:after="100" w:afterAutospacing="1" w:line="240" w:lineRule="auto"/>
        <w:outlineLvl w:val="4"/>
        <w:rPr>
          <w:rFonts w:ascii="Book Antiqua" w:eastAsia="Times New Roman" w:hAnsi="Book Antiqua" w:cs="Arial"/>
          <w:b/>
          <w:bCs/>
          <w:sz w:val="20"/>
          <w:szCs w:val="20"/>
        </w:rPr>
      </w:pPr>
      <w:r w:rsidRPr="00B435FA">
        <w:rPr>
          <w:rFonts w:ascii="Book Antiqua" w:eastAsia="Times New Roman" w:hAnsi="Book Antiqua" w:cs="Arial"/>
          <w:b/>
          <w:bCs/>
          <w:sz w:val="20"/>
          <w:szCs w:val="20"/>
        </w:rPr>
        <w:t>§ 63.965   Recordkeeping requirements.</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sz w:val="20"/>
          <w:szCs w:val="20"/>
        </w:rPr>
        <w:t>(a) Each owner or operator complying with §63.962(a</w:t>
      </w:r>
      <w:proofErr w:type="gramStart"/>
      <w:r w:rsidRPr="00B435FA">
        <w:rPr>
          <w:rFonts w:ascii="Book Antiqua" w:eastAsia="Times New Roman" w:hAnsi="Book Antiqua" w:cs="Arial"/>
          <w:sz w:val="20"/>
          <w:szCs w:val="20"/>
        </w:rPr>
        <w:t>)(</w:t>
      </w:r>
      <w:proofErr w:type="gramEnd"/>
      <w:r w:rsidRPr="00B435FA">
        <w:rPr>
          <w:rFonts w:ascii="Book Antiqua" w:eastAsia="Times New Roman" w:hAnsi="Book Antiqua" w:cs="Arial"/>
          <w:sz w:val="20"/>
          <w:szCs w:val="20"/>
        </w:rPr>
        <w:t>1) of this subpart shall prepare and maintain the following records:</w:t>
      </w:r>
    </w:p>
    <w:p w:rsidR="00B435FA" w:rsidRDefault="00B435FA">
      <w:pPr>
        <w:rPr>
          <w:rFonts w:ascii="Book Antiqua" w:eastAsia="Times New Roman" w:hAnsi="Book Antiqua" w:cs="Arial"/>
          <w:sz w:val="20"/>
          <w:szCs w:val="20"/>
        </w:rPr>
      </w:pPr>
      <w:r>
        <w:rPr>
          <w:rFonts w:ascii="Book Antiqua" w:eastAsia="Times New Roman" w:hAnsi="Book Antiqua" w:cs="Arial"/>
          <w:sz w:val="20"/>
          <w:szCs w:val="20"/>
        </w:rPr>
        <w:br w:type="page"/>
      </w:r>
    </w:p>
    <w:p w:rsidR="00B435FA" w:rsidRDefault="00B435FA" w:rsidP="00B435FA">
      <w:pPr>
        <w:spacing w:before="100" w:beforeAutospacing="1" w:after="100" w:afterAutospacing="1" w:line="240" w:lineRule="auto"/>
        <w:rPr>
          <w:rFonts w:ascii="Book Antiqua" w:eastAsia="Times New Roman" w:hAnsi="Book Antiqua" w:cs="Arial"/>
          <w:sz w:val="20"/>
          <w:szCs w:val="20"/>
        </w:rPr>
      </w:pP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sz w:val="20"/>
          <w:szCs w:val="20"/>
        </w:rPr>
        <w:t>(1) A written site-specific individual drain system inspection plan that includes a drawing or schematic of the individual drain system and identifies each drain, junction box, and sewer line location.</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sz w:val="20"/>
          <w:szCs w:val="20"/>
        </w:rPr>
        <w:t>(2) A record of the date that each inspection required by §63.964(a) of this subpart is performed.</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sz w:val="20"/>
          <w:szCs w:val="20"/>
        </w:rPr>
        <w:t>(3) When applicable, a record for each defect detected during inspections required by §63.964(a) of this subpart that includes the following information: the location of the defect, a description of the defect, the date of detection, the corrective action taken to repair the defect, and the date that the corrective action was completed. In the event that repair of the defect is delayed in accordance with the provisions of §63.964(b</w:t>
      </w:r>
      <w:proofErr w:type="gramStart"/>
      <w:r w:rsidRPr="00B435FA">
        <w:rPr>
          <w:rFonts w:ascii="Book Antiqua" w:eastAsia="Times New Roman" w:hAnsi="Book Antiqua" w:cs="Arial"/>
          <w:sz w:val="20"/>
          <w:szCs w:val="20"/>
        </w:rPr>
        <w:t>)(</w:t>
      </w:r>
      <w:proofErr w:type="gramEnd"/>
      <w:r w:rsidRPr="00B435FA">
        <w:rPr>
          <w:rFonts w:ascii="Book Antiqua" w:eastAsia="Times New Roman" w:hAnsi="Book Antiqua" w:cs="Arial"/>
          <w:sz w:val="20"/>
          <w:szCs w:val="20"/>
        </w:rPr>
        <w:t>2) of this section, the owner or operator shall also record the reason for the delay and the date that completion of repair of the defect is expected.</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sz w:val="20"/>
          <w:szCs w:val="20"/>
        </w:rPr>
        <w:t>(b) Owners and operators that use a closed-vent system and a control device in accordance with the provisions of §63.962 shall prepare and maintain the records required for the closed-vent system and control device in accordance with the requirements of §63.693.</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sz w:val="20"/>
          <w:szCs w:val="20"/>
        </w:rPr>
        <w:t>[61 FR 34193, July 1, 1996, as amended at 64 FR 38991, July 20, 1999; 66 FR 1267, Jan. 8, 2001]</w:t>
      </w:r>
    </w:p>
    <w:p w:rsidR="00B435FA" w:rsidRPr="00B435FA" w:rsidRDefault="00B435FA" w:rsidP="00B435FA">
      <w:pPr>
        <w:spacing w:before="100" w:beforeAutospacing="1" w:after="100" w:afterAutospacing="1" w:line="240" w:lineRule="auto"/>
        <w:outlineLvl w:val="4"/>
        <w:rPr>
          <w:rFonts w:ascii="Book Antiqua" w:eastAsia="Times New Roman" w:hAnsi="Book Antiqua" w:cs="Arial"/>
          <w:b/>
          <w:bCs/>
          <w:sz w:val="20"/>
          <w:szCs w:val="20"/>
        </w:rPr>
      </w:pPr>
      <w:r w:rsidRPr="00B435FA">
        <w:rPr>
          <w:rFonts w:ascii="Book Antiqua" w:eastAsia="Times New Roman" w:hAnsi="Book Antiqua" w:cs="Arial"/>
          <w:b/>
          <w:bCs/>
          <w:sz w:val="20"/>
          <w:szCs w:val="20"/>
        </w:rPr>
        <w:t>§ 63.966   Reporting requirements.</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sz w:val="20"/>
          <w:szCs w:val="20"/>
        </w:rPr>
        <w:t>Owners and operators that use a closed-vent system and a control device in accordance with the provisions of §63.962 shall prepare and submit to the Administrator the reports required for closed-vent systems and control devices in accordance with the requirements of §63.693.</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sz w:val="20"/>
          <w:szCs w:val="20"/>
        </w:rPr>
        <w:t>[66 FR 1267, Jan. 8, 2001]</w:t>
      </w:r>
    </w:p>
    <w:p w:rsidR="00B435FA" w:rsidRPr="00B435FA" w:rsidRDefault="00B435FA" w:rsidP="00B435FA">
      <w:pPr>
        <w:spacing w:before="100" w:beforeAutospacing="1" w:after="100" w:afterAutospacing="1" w:line="240" w:lineRule="auto"/>
        <w:outlineLvl w:val="4"/>
        <w:rPr>
          <w:rFonts w:ascii="Book Antiqua" w:eastAsia="Times New Roman" w:hAnsi="Book Antiqua" w:cs="Arial"/>
          <w:b/>
          <w:bCs/>
          <w:sz w:val="20"/>
          <w:szCs w:val="20"/>
        </w:rPr>
      </w:pPr>
      <w:r w:rsidRPr="00B435FA">
        <w:rPr>
          <w:rFonts w:ascii="Book Antiqua" w:eastAsia="Times New Roman" w:hAnsi="Book Antiqua" w:cs="Arial"/>
          <w:b/>
          <w:bCs/>
          <w:sz w:val="20"/>
          <w:szCs w:val="20"/>
        </w:rPr>
        <w:t>§ 63.967   Implementation and enforcement.</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sz w:val="20"/>
          <w:szCs w:val="20"/>
        </w:rPr>
        <w:t>(a) This subpart can be implemented and enforced by the U.S. EPA, or a delegated authority such as the applicable State, local, or Tribal agency. If the U.S. EPA Administrator has delegated authority to a State, local, or Tribal agency, then that agency, in addition to the U.S. EPA, has the authority to implement and enforce this subpart. Contact the applicable U.S. EPA Regional Office to find out if this subpart is delegated to a State, local, or Tribal agency.</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sz w:val="20"/>
          <w:szCs w:val="20"/>
        </w:rPr>
        <w:t>(b) In delegating implementation and enforcement authority of this subpart to a State, local, or Tribal agency under subpart E of this part, the authorities contained in paragraph (c) of this section are retained by the Administrator of U.S. EPA and cannot be transferred to the State, local, or Tribal agency.</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sz w:val="20"/>
          <w:szCs w:val="20"/>
        </w:rPr>
        <w:t>(c) The authorities that cannot be delegated to State, local, or Tribal agencies are as specified in paragraphs (c</w:t>
      </w:r>
      <w:proofErr w:type="gramStart"/>
      <w:r w:rsidRPr="00B435FA">
        <w:rPr>
          <w:rFonts w:ascii="Book Antiqua" w:eastAsia="Times New Roman" w:hAnsi="Book Antiqua" w:cs="Arial"/>
          <w:sz w:val="20"/>
          <w:szCs w:val="20"/>
        </w:rPr>
        <w:t>)(</w:t>
      </w:r>
      <w:proofErr w:type="gramEnd"/>
      <w:r w:rsidRPr="00B435FA">
        <w:rPr>
          <w:rFonts w:ascii="Book Antiqua" w:eastAsia="Times New Roman" w:hAnsi="Book Antiqua" w:cs="Arial"/>
          <w:sz w:val="20"/>
          <w:szCs w:val="20"/>
        </w:rPr>
        <w:t>1) through (4) of this section.</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sz w:val="20"/>
          <w:szCs w:val="20"/>
        </w:rPr>
        <w:t>(1) Approval of alternatives to the requirements in §§63.960 and 63.962. Where these standards reference subpart DD, the cited provisions will be delegated according to the delegation provisions subpart DD of this part.</w:t>
      </w:r>
    </w:p>
    <w:p w:rsidR="00B435FA" w:rsidRDefault="00B435FA">
      <w:pPr>
        <w:rPr>
          <w:rFonts w:ascii="Book Antiqua" w:eastAsia="Times New Roman" w:hAnsi="Book Antiqua" w:cs="Arial"/>
          <w:sz w:val="20"/>
          <w:szCs w:val="20"/>
        </w:rPr>
      </w:pPr>
      <w:r>
        <w:rPr>
          <w:rFonts w:ascii="Book Antiqua" w:eastAsia="Times New Roman" w:hAnsi="Book Antiqua" w:cs="Arial"/>
          <w:sz w:val="20"/>
          <w:szCs w:val="20"/>
        </w:rPr>
        <w:br w:type="page"/>
      </w:r>
    </w:p>
    <w:p w:rsidR="00B435FA" w:rsidRDefault="00B435FA" w:rsidP="00B435FA">
      <w:pPr>
        <w:spacing w:before="100" w:beforeAutospacing="1" w:after="100" w:afterAutospacing="1" w:line="240" w:lineRule="auto"/>
        <w:rPr>
          <w:rFonts w:ascii="Book Antiqua" w:eastAsia="Times New Roman" w:hAnsi="Book Antiqua" w:cs="Arial"/>
          <w:sz w:val="20"/>
          <w:szCs w:val="20"/>
        </w:rPr>
      </w:pP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sz w:val="20"/>
          <w:szCs w:val="20"/>
        </w:rPr>
        <w:t>(2) Approval of major alternatives to test methods under §63.7(e</w:t>
      </w:r>
      <w:proofErr w:type="gramStart"/>
      <w:r w:rsidRPr="00B435FA">
        <w:rPr>
          <w:rFonts w:ascii="Book Antiqua" w:eastAsia="Times New Roman" w:hAnsi="Book Antiqua" w:cs="Arial"/>
          <w:sz w:val="20"/>
          <w:szCs w:val="20"/>
        </w:rPr>
        <w:t>)(</w:t>
      </w:r>
      <w:proofErr w:type="gramEnd"/>
      <w:r w:rsidRPr="00B435FA">
        <w:rPr>
          <w:rFonts w:ascii="Book Antiqua" w:eastAsia="Times New Roman" w:hAnsi="Book Antiqua" w:cs="Arial"/>
          <w:sz w:val="20"/>
          <w:szCs w:val="20"/>
        </w:rPr>
        <w:t>2)(ii) and (f), as defined in §63.90, and as required in this subpart.</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sz w:val="20"/>
          <w:szCs w:val="20"/>
        </w:rPr>
        <w:t>(3) Approval of major alternatives to monitoring under §63.8(f), as defined in §63.90, and as required in this subpart.</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sz w:val="20"/>
          <w:szCs w:val="20"/>
        </w:rPr>
        <w:t>(4) Approval of major alternatives to recordkeeping and reporting under §63.10(f), as defined in §63.90, and as required in this subpart.</w:t>
      </w:r>
    </w:p>
    <w:p w:rsidR="00B435FA" w:rsidRPr="00B435FA" w:rsidRDefault="00B435FA" w:rsidP="00B435FA">
      <w:pPr>
        <w:spacing w:before="100" w:beforeAutospacing="1" w:after="100" w:afterAutospacing="1" w:line="240" w:lineRule="auto"/>
        <w:rPr>
          <w:rFonts w:ascii="Book Antiqua" w:eastAsia="Times New Roman" w:hAnsi="Book Antiqua" w:cs="Arial"/>
          <w:sz w:val="20"/>
          <w:szCs w:val="20"/>
        </w:rPr>
      </w:pPr>
      <w:r w:rsidRPr="00B435FA">
        <w:rPr>
          <w:rFonts w:ascii="Book Antiqua" w:eastAsia="Times New Roman" w:hAnsi="Book Antiqua" w:cs="Arial"/>
          <w:sz w:val="20"/>
          <w:szCs w:val="20"/>
        </w:rPr>
        <w:t>[68 FR 37355, June 23, 2003]</w:t>
      </w:r>
    </w:p>
    <w:p w:rsidR="00C55EA0" w:rsidRDefault="00C55EA0"/>
    <w:sectPr w:rsidR="00C55EA0" w:rsidSect="00C55EA0">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35FA" w:rsidRDefault="00B435FA" w:rsidP="00B435FA">
      <w:pPr>
        <w:spacing w:after="0" w:line="240" w:lineRule="auto"/>
      </w:pPr>
      <w:r>
        <w:separator/>
      </w:r>
    </w:p>
  </w:endnote>
  <w:endnote w:type="continuationSeparator" w:id="0">
    <w:p w:rsidR="00B435FA" w:rsidRDefault="00B435FA" w:rsidP="00B435F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742719"/>
      <w:docPartObj>
        <w:docPartGallery w:val="Page Numbers (Bottom of Page)"/>
        <w:docPartUnique/>
      </w:docPartObj>
    </w:sdtPr>
    <w:sdtContent>
      <w:p w:rsidR="00B435FA" w:rsidRDefault="00B435FA">
        <w:pPr>
          <w:pStyle w:val="Footer"/>
          <w:jc w:val="center"/>
        </w:pPr>
        <w:fldSimple w:instr=" PAGE   \* MERGEFORMAT ">
          <w:r>
            <w:rPr>
              <w:noProof/>
            </w:rPr>
            <w:t>7</w:t>
          </w:r>
        </w:fldSimple>
      </w:p>
    </w:sdtContent>
  </w:sdt>
  <w:p w:rsidR="00B435FA" w:rsidRDefault="00B435F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35FA" w:rsidRDefault="00B435FA" w:rsidP="00B435FA">
      <w:pPr>
        <w:spacing w:after="0" w:line="240" w:lineRule="auto"/>
      </w:pPr>
      <w:r>
        <w:separator/>
      </w:r>
    </w:p>
  </w:footnote>
  <w:footnote w:type="continuationSeparator" w:id="0">
    <w:p w:rsidR="00B435FA" w:rsidRDefault="00B435FA" w:rsidP="00B435F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footnote w:id="-1"/>
    <w:footnote w:id="0"/>
  </w:footnotePr>
  <w:endnotePr>
    <w:endnote w:id="-1"/>
    <w:endnote w:id="0"/>
  </w:endnotePr>
  <w:compat/>
  <w:rsids>
    <w:rsidRoot w:val="00B435FA"/>
    <w:rsid w:val="00B435FA"/>
    <w:rsid w:val="00C55EA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5EA0"/>
  </w:style>
  <w:style w:type="paragraph" w:styleId="Heading5">
    <w:name w:val="heading 5"/>
    <w:basedOn w:val="Normal"/>
    <w:link w:val="Heading5Char"/>
    <w:uiPriority w:val="9"/>
    <w:qFormat/>
    <w:rsid w:val="00B435FA"/>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B435FA"/>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B435FA"/>
    <w:rPr>
      <w:color w:val="0000FF"/>
      <w:u w:val="single"/>
    </w:rPr>
  </w:style>
  <w:style w:type="paragraph" w:styleId="NormalWeb">
    <w:name w:val="Normal (Web)"/>
    <w:basedOn w:val="Normal"/>
    <w:uiPriority w:val="99"/>
    <w:semiHidden/>
    <w:unhideWhenUsed/>
    <w:rsid w:val="00B435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pdatebodytest1">
    <w:name w:val="updatebodytest1"/>
    <w:basedOn w:val="DefaultParagraphFont"/>
    <w:rsid w:val="00B435FA"/>
    <w:rPr>
      <w:rFonts w:ascii="Arial" w:hAnsi="Arial" w:cs="Arial" w:hint="default"/>
      <w:b w:val="0"/>
      <w:bCs w:val="0"/>
      <w:i w:val="0"/>
      <w:iCs w:val="0"/>
      <w:smallCaps w:val="0"/>
      <w:sz w:val="15"/>
      <w:szCs w:val="15"/>
    </w:rPr>
  </w:style>
  <w:style w:type="character" w:customStyle="1" w:styleId="mainheader1">
    <w:name w:val="mainheader1"/>
    <w:basedOn w:val="DefaultParagraphFont"/>
    <w:rsid w:val="00B435FA"/>
    <w:rPr>
      <w:b/>
      <w:bCs/>
      <w:sz w:val="31"/>
      <w:szCs w:val="31"/>
    </w:rPr>
  </w:style>
  <w:style w:type="character" w:customStyle="1" w:styleId="div5head">
    <w:name w:val="div5head"/>
    <w:basedOn w:val="DefaultParagraphFont"/>
    <w:rsid w:val="00B435FA"/>
  </w:style>
  <w:style w:type="paragraph" w:styleId="Header">
    <w:name w:val="header"/>
    <w:basedOn w:val="Normal"/>
    <w:link w:val="HeaderChar"/>
    <w:uiPriority w:val="99"/>
    <w:semiHidden/>
    <w:unhideWhenUsed/>
    <w:rsid w:val="00B435F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435FA"/>
  </w:style>
  <w:style w:type="paragraph" w:styleId="Footer">
    <w:name w:val="footer"/>
    <w:basedOn w:val="Normal"/>
    <w:link w:val="FooterChar"/>
    <w:uiPriority w:val="99"/>
    <w:unhideWhenUsed/>
    <w:rsid w:val="00B435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35F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ecfr.gpoaccess.gov/cgi/t/text/text-idx?c=ecfr;sid=46aa3b106840624b370d500d84f1c856;rgn=div6;view=text;node=40%3A10.0.1.1.1.18;idno=40;cc=ecfr"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ecfr.gpoaccess.gov/cgi/t/text/text-idx?c=ecfr;sid=46aa3b106840624b370d500d84f1c856;rgn=div6;view=text;node=40%3A10.0.1.1.1.16;idno=40;cc=ecf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7</Pages>
  <Words>2599</Words>
  <Characters>14820</Characters>
  <Application>Microsoft Office Word</Application>
  <DocSecurity>0</DocSecurity>
  <Lines>123</Lines>
  <Paragraphs>34</Paragraphs>
  <ScaleCrop>false</ScaleCrop>
  <Company>Northeast District</Company>
  <LinksUpToDate>false</LinksUpToDate>
  <CharactersWithSpaces>17385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Leslie Maybin</dc:creator>
  <cp:keywords/>
  <dc:description/>
  <cp:lastModifiedBy>Leslie Maybin</cp:lastModifiedBy>
  <cp:revision>2</cp:revision>
  <dcterms:created xsi:type="dcterms:W3CDTF">2011-07-12T13:24:00Z</dcterms:created>
  <dcterms:modified xsi:type="dcterms:W3CDTF">2011-07-12T13:48:00Z</dcterms:modified>
</cp:coreProperties>
</file>